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メイリオ" w:hAnsi="メイリオ" w:eastAsia="メイリオ"/>
          <w:sz w:val="28"/>
        </w:rPr>
      </w:pPr>
      <w:r>
        <w:rPr>
          <w:rFonts w:hint="eastAsia" w:asciiTheme="minorEastAsia" w:hAnsiTheme="minorEastAsia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-334010</wp:posOffset>
                </wp:positionV>
                <wp:extent cx="2238375" cy="304800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2238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0"/>
                              </w:rPr>
                              <w:t>別紙</w:t>
                            </w:r>
                            <w:r>
                              <w:rPr>
                                <w:rFonts w:hint="default" w:asciiTheme="minorEastAsia" w:hAnsiTheme="minorEastAsia"/>
                                <w:sz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26.3pt;mso-position-vertical-relative:text;mso-position-horizontal-relative:text;v-text-anchor:top;position:absolute;height:24pt;mso-wrap-distance-top:0pt;width:176.25pt;mso-wrap-distance-left:9pt;margin-left:-9pt;z-index:2;" o:spid="_x0000_s1026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 w:asciiTheme="minorEastAsia" w:hAnsiTheme="minorEastAsia"/>
                          <w:sz w:val="20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0"/>
                        </w:rPr>
                        <w:t>別紙</w:t>
                      </w:r>
                      <w:r>
                        <w:rPr>
                          <w:rFonts w:hint="default" w:asciiTheme="minorEastAsia" w:hAnsiTheme="minorEastAsia"/>
                          <w:sz w:val="20"/>
                        </w:rPr>
                        <w:t>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  <w:sz w:val="28"/>
        </w:rPr>
        <w:t>事</w:t>
      </w:r>
      <w:r>
        <w:rPr>
          <w:rFonts w:hint="eastAsia" w:ascii="メイリオ" w:hAnsi="メイリオ" w:eastAsia="メイリオ"/>
          <w:sz w:val="28"/>
        </w:rPr>
        <w:t>業成績書</w:t>
      </w:r>
    </w:p>
    <w:tbl>
      <w:tblPr>
        <w:tblStyle w:val="21"/>
        <w:tblW w:w="9067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Look w:firstRow="1" w:lastRow="0" w:firstColumn="1" w:lastColumn="0" w:noHBand="0" w:noVBand="1" w:val="04A0"/>
      </w:tblPr>
      <w:tblGrid>
        <w:gridCol w:w="1358"/>
        <w:gridCol w:w="905"/>
        <w:gridCol w:w="536"/>
        <w:gridCol w:w="2016"/>
        <w:gridCol w:w="850"/>
        <w:gridCol w:w="851"/>
        <w:gridCol w:w="425"/>
        <w:gridCol w:w="2126"/>
      </w:tblGrid>
      <w:tr>
        <w:trPr>
          <w:trHeight w:val="376" w:hRule="atLeast"/>
        </w:trPr>
        <w:tc>
          <w:tcPr>
            <w:tcW w:w="9067" w:type="dxa"/>
            <w:gridSpan w:val="8"/>
            <w:shd w:val="pct12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１　実施事業の具体的内容</w:t>
            </w:r>
          </w:p>
        </w:tc>
      </w:tr>
      <w:tr>
        <w:trPr>
          <w:trHeight w:val="2839" w:hRule="atLeast"/>
        </w:trPr>
        <w:tc>
          <w:tcPr>
            <w:tcW w:w="9067" w:type="dxa"/>
            <w:gridSpan w:val="8"/>
            <w:vAlign w:val="center"/>
          </w:tcPr>
          <w:p>
            <w:pPr>
              <w:pStyle w:val="0"/>
              <w:spacing w:line="320" w:lineRule="exact"/>
              <w:rPr>
                <w:rFonts w:hint="eastAsia" w:ascii="メイリオ" w:hAnsi="メイリオ" w:eastAsia="メイリオ"/>
                <w:sz w:val="20"/>
              </w:rPr>
            </w:pPr>
            <w:bookmarkStart w:id="0" w:name="_GoBack"/>
            <w:bookmarkEnd w:id="0"/>
          </w:p>
        </w:tc>
      </w:tr>
      <w:tr>
        <w:trPr>
          <w:trHeight w:val="419" w:hRule="atLeast"/>
        </w:trPr>
        <w:tc>
          <w:tcPr>
            <w:tcW w:w="9067" w:type="dxa"/>
            <w:gridSpan w:val="8"/>
            <w:shd w:val="pct12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２　効果等</w:t>
            </w:r>
          </w:p>
        </w:tc>
      </w:tr>
      <w:tr>
        <w:trPr>
          <w:trHeight w:val="2970" w:hRule="atLeast"/>
        </w:trPr>
        <w:tc>
          <w:tcPr>
            <w:tcW w:w="9067" w:type="dxa"/>
            <w:gridSpan w:val="8"/>
            <w:vAlign w:val="center"/>
          </w:tcPr>
          <w:p>
            <w:pPr>
              <w:pStyle w:val="0"/>
              <w:spacing w:line="240" w:lineRule="exact"/>
              <w:rPr>
                <w:rFonts w:hint="eastAsia" w:ascii="メイリオ" w:hAnsi="メイリオ" w:eastAsia="メイリオ"/>
                <w:sz w:val="16"/>
              </w:rPr>
            </w:pPr>
          </w:p>
        </w:tc>
      </w:tr>
      <w:tr>
        <w:trPr>
          <w:trHeight w:val="413" w:hRule="atLeast"/>
        </w:trPr>
        <w:tc>
          <w:tcPr>
            <w:tcW w:w="9067" w:type="dxa"/>
            <w:gridSpan w:val="8"/>
            <w:shd w:val="pct12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３　事業化実現に向けた今後の戦略等</w:t>
            </w:r>
          </w:p>
        </w:tc>
      </w:tr>
      <w:tr>
        <w:trPr>
          <w:trHeight w:val="2835" w:hRule="atLeast"/>
        </w:trPr>
        <w:tc>
          <w:tcPr>
            <w:tcW w:w="9067" w:type="dxa"/>
            <w:gridSpan w:val="8"/>
            <w:vAlign w:val="center"/>
          </w:tcPr>
          <w:p>
            <w:pPr>
              <w:pStyle w:val="0"/>
              <w:spacing w:line="320" w:lineRule="exact"/>
              <w:rPr>
                <w:rFonts w:hint="eastAsia" w:ascii="メイリオ" w:hAnsi="メイリオ" w:eastAsia="メイリオ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358" w:type="dxa"/>
            <w:vMerge w:val="restart"/>
            <w:shd w:val="pct12" w:color="auto" w:fill="auto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事業による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売上高・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新規雇用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pStyle w:val="0"/>
              <w:spacing w:line="320" w:lineRule="exact"/>
              <w:rPr>
                <w:rFonts w:hint="eastAsia" w:ascii="メイリオ" w:hAnsi="メイリオ" w:eastAsia="メイリオ"/>
                <w:sz w:val="20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今期</w:t>
            </w:r>
          </w:p>
          <w:p>
            <w:pPr>
              <w:pStyle w:val="0"/>
              <w:spacing w:line="320" w:lineRule="exac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　　　～　　　）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事業終了後</w:t>
            </w:r>
            <w:r>
              <w:rPr>
                <w:rFonts w:hint="eastAsia" w:ascii="メイリオ" w:hAnsi="メイリオ" w:eastAsia="メイリオ"/>
                <w:sz w:val="20"/>
              </w:rPr>
              <w:t>1</w:t>
            </w:r>
            <w:r>
              <w:rPr>
                <w:rFonts w:hint="eastAsia" w:ascii="メイリオ" w:hAnsi="メイリオ" w:eastAsia="メイリオ"/>
                <w:sz w:val="20"/>
              </w:rPr>
              <w:t>年目</w:t>
            </w:r>
          </w:p>
          <w:p>
            <w:pPr>
              <w:pStyle w:val="0"/>
              <w:spacing w:line="320" w:lineRule="exac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　　　～　　　）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事業終了後</w:t>
            </w:r>
            <w:r>
              <w:rPr>
                <w:rFonts w:hint="eastAsia" w:ascii="メイリオ" w:hAnsi="メイリオ" w:eastAsia="メイリオ"/>
                <w:sz w:val="20"/>
              </w:rPr>
              <w:t>2</w:t>
            </w:r>
            <w:r>
              <w:rPr>
                <w:rFonts w:hint="eastAsia" w:ascii="メイリオ" w:hAnsi="メイリオ" w:eastAsia="メイリオ"/>
                <w:sz w:val="20"/>
              </w:rPr>
              <w:t>年目</w:t>
            </w:r>
          </w:p>
          <w:p>
            <w:pPr>
              <w:pStyle w:val="0"/>
              <w:spacing w:line="320" w:lineRule="exac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　　　～　　　）</w:t>
            </w:r>
          </w:p>
        </w:tc>
      </w:tr>
      <w:tr>
        <w:trPr>
          <w:trHeight w:val="473" w:hRule="atLeast"/>
        </w:trPr>
        <w:tc>
          <w:tcPr>
            <w:tcW w:w="1358" w:type="dxa"/>
            <w:vMerge w:val="continue"/>
            <w:shd w:val="pct12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pStyle w:val="0"/>
              <w:spacing w:line="320" w:lineRule="exac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売上高</w:t>
            </w:r>
            <w:r>
              <w:rPr>
                <w:rFonts w:hint="eastAsia" w:ascii="メイリオ" w:hAnsi="メイリオ" w:eastAsia="メイリオ"/>
                <w:sz w:val="20"/>
              </w:rPr>
              <w:t>(</w:t>
            </w:r>
            <w:r>
              <w:rPr>
                <w:rFonts w:hint="eastAsia" w:ascii="メイリオ" w:hAnsi="メイリオ" w:eastAsia="メイリオ"/>
                <w:sz w:val="20"/>
              </w:rPr>
              <w:t>円</w:t>
            </w:r>
            <w:r>
              <w:rPr>
                <w:rFonts w:hint="eastAsia" w:ascii="メイリオ" w:hAnsi="メイリオ" w:eastAsia="メイリオ"/>
                <w:sz w:val="20"/>
              </w:rPr>
              <w:t>)</w:t>
            </w:r>
          </w:p>
        </w:tc>
        <w:tc>
          <w:tcPr>
            <w:tcW w:w="2016" w:type="dxa"/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円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円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円</w:t>
            </w:r>
          </w:p>
        </w:tc>
      </w:tr>
      <w:tr>
        <w:trPr>
          <w:trHeight w:val="410" w:hRule="atLeast"/>
        </w:trPr>
        <w:tc>
          <w:tcPr>
            <w:tcW w:w="1358" w:type="dxa"/>
            <w:vMerge w:val="continue"/>
            <w:shd w:val="pct12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pStyle w:val="0"/>
              <w:spacing w:line="320" w:lineRule="exac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経常利益</w:t>
            </w:r>
            <w:r>
              <w:rPr>
                <w:rFonts w:hint="eastAsia" w:ascii="メイリオ" w:hAnsi="メイリオ" w:eastAsia="メイリオ"/>
                <w:sz w:val="20"/>
              </w:rPr>
              <w:t>(</w:t>
            </w:r>
            <w:r>
              <w:rPr>
                <w:rFonts w:hint="eastAsia" w:ascii="メイリオ" w:hAnsi="メイリオ" w:eastAsia="メイリオ"/>
                <w:sz w:val="20"/>
              </w:rPr>
              <w:t>円</w:t>
            </w:r>
            <w:r>
              <w:rPr>
                <w:rFonts w:hint="eastAsia" w:ascii="メイリオ" w:hAnsi="メイリオ" w:eastAsia="メイリオ"/>
                <w:sz w:val="20"/>
              </w:rPr>
              <w:t>)</w:t>
            </w:r>
          </w:p>
        </w:tc>
        <w:tc>
          <w:tcPr>
            <w:tcW w:w="2016" w:type="dxa"/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円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円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円</w:t>
            </w:r>
          </w:p>
        </w:tc>
      </w:tr>
      <w:tr>
        <w:trPr>
          <w:trHeight w:val="415" w:hRule="atLeast"/>
        </w:trPr>
        <w:tc>
          <w:tcPr>
            <w:tcW w:w="1358" w:type="dxa"/>
            <w:vMerge w:val="continue"/>
            <w:shd w:val="pct12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pStyle w:val="0"/>
              <w:spacing w:line="320" w:lineRule="exac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新規雇用</w:t>
            </w:r>
            <w:r>
              <w:rPr>
                <w:rFonts w:hint="eastAsia" w:ascii="メイリオ" w:hAnsi="メイリオ" w:eastAsia="メイリオ"/>
                <w:sz w:val="20"/>
              </w:rPr>
              <w:t>(</w:t>
            </w:r>
            <w:r>
              <w:rPr>
                <w:rFonts w:hint="eastAsia" w:ascii="メイリオ" w:hAnsi="メイリオ" w:eastAsia="メイリオ"/>
                <w:sz w:val="20"/>
              </w:rPr>
              <w:t>人</w:t>
            </w:r>
            <w:r>
              <w:rPr>
                <w:rFonts w:hint="eastAsia" w:ascii="メイリオ" w:hAnsi="メイリオ" w:eastAsia="メイリオ"/>
                <w:sz w:val="20"/>
              </w:rPr>
              <w:t>)</w:t>
            </w:r>
          </w:p>
        </w:tc>
        <w:tc>
          <w:tcPr>
            <w:tcW w:w="2016" w:type="dxa"/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人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人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人</w:t>
            </w:r>
          </w:p>
        </w:tc>
      </w:tr>
      <w:tr>
        <w:trPr>
          <w:trHeight w:val="1455" w:hRule="atLeast"/>
        </w:trPr>
        <w:tc>
          <w:tcPr>
            <w:tcW w:w="1358" w:type="dxa"/>
            <w:vMerge w:val="restart"/>
            <w:shd w:val="pct12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支援機関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コメント</w:t>
            </w:r>
          </w:p>
        </w:tc>
        <w:tc>
          <w:tcPr>
            <w:tcW w:w="7709" w:type="dxa"/>
            <w:gridSpan w:val="7"/>
            <w:vAlign w:val="center"/>
          </w:tcPr>
          <w:p>
            <w:pPr>
              <w:pStyle w:val="0"/>
              <w:spacing w:line="320" w:lineRule="exact"/>
              <w:rPr>
                <w:rFonts w:hint="eastAsia" w:ascii="メイリオ" w:hAnsi="メイリオ" w:eastAsia="メイリオ"/>
                <w:sz w:val="20"/>
              </w:rPr>
            </w:pPr>
          </w:p>
        </w:tc>
      </w:tr>
      <w:tr>
        <w:trPr>
          <w:trHeight w:val="363" w:hRule="atLeast"/>
        </w:trPr>
        <w:tc>
          <w:tcPr>
            <w:tcW w:w="1358" w:type="dxa"/>
            <w:vMerge w:val="continue"/>
            <w:shd w:val="pct12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05" w:type="dxa"/>
            <w:vAlign w:val="center"/>
          </w:tcPr>
          <w:p>
            <w:pPr>
              <w:pStyle w:val="0"/>
              <w:spacing w:line="320" w:lineRule="exac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機関名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pStyle w:val="0"/>
              <w:spacing w:line="320" w:lineRule="exact"/>
              <w:rPr>
                <w:rFonts w:hint="eastAsia" w:ascii="メイリオ" w:hAnsi="メイリオ" w:eastAsia="メイリオ"/>
                <w:sz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spacing w:line="320" w:lineRule="exac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担当者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0"/>
              <w:spacing w:line="320" w:lineRule="exact"/>
              <w:rPr>
                <w:rFonts w:hint="eastAsia" w:ascii="メイリオ" w:hAnsi="メイリオ" w:eastAsia="メイリオ"/>
                <w:sz w:val="20"/>
              </w:rPr>
            </w:pPr>
          </w:p>
        </w:tc>
      </w:tr>
    </w:tbl>
    <w:p>
      <w:pPr>
        <w:pStyle w:val="0"/>
        <w:spacing w:line="320" w:lineRule="exact"/>
        <w:rPr>
          <w:rFonts w:hint="eastAsia" w:ascii="メイリオ" w:hAnsi="メイリオ" w:eastAsia="メイリオ"/>
        </w:rPr>
      </w:pPr>
    </w:p>
    <w:sectPr>
      <w:pgSz w:w="11906" w:h="16838"/>
      <w:pgMar w:top="1134" w:right="1418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131</TotalTime>
  <Pages>1</Pages>
  <Words>2</Words>
  <Characters>122</Characters>
  <Application>JUST Note</Application>
  <Lines>45</Lines>
  <Paragraphs>30</Paragraphs>
  <Company>役場</Company>
  <CharactersWithSpaces>143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京丹波町</dc:creator>
  <cp:lastModifiedBy>Shinji-Ichise</cp:lastModifiedBy>
  <dcterms:created xsi:type="dcterms:W3CDTF">2018-01-24T03:33:00Z</dcterms:created>
  <dcterms:modified xsi:type="dcterms:W3CDTF">2018-02-06T00:24:04Z</dcterms:modified>
  <cp:revision>13</cp:revision>
</cp:coreProperties>
</file>